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1642BC" w:rsidRDefault="0045641F">
      <w:pPr>
        <w:rPr>
          <w:b/>
        </w:rPr>
      </w:pPr>
      <w:bookmarkStart w:id="0" w:name="_GoBack"/>
      <w:r w:rsidRPr="001642BC">
        <w:rPr>
          <w:b/>
        </w:rPr>
        <w:t>VXT: Board Resolution</w:t>
      </w:r>
    </w:p>
    <w:bookmarkEnd w:id="0"/>
    <w:p w:rsidR="0045641F" w:rsidRDefault="0045641F">
      <w:r>
        <w:t xml:space="preserve">On 31 Aug 2020, </w:t>
      </w:r>
      <w:r w:rsidRPr="0045641F">
        <w:t>Transport - Warehousing and Trade service Joint Stock Company</w:t>
      </w:r>
      <w:r>
        <w:t xml:space="preserve"> announced the Board Resolution No. 099/2020/NQ-HDQT/KV on approving the plan for share issuance to raise charter capital and the plan of proceeds as follows:</w:t>
      </w:r>
    </w:p>
    <w:p w:rsidR="0045641F" w:rsidRDefault="001642BC">
      <w:r>
        <w:rPr>
          <w:b/>
        </w:rPr>
        <w:t>Article 1.</w:t>
      </w:r>
      <w:r w:rsidR="0045641F">
        <w:t xml:space="preserve"> Approve the plan for share issuance to raise charter capital as follows:</w:t>
      </w:r>
    </w:p>
    <w:p w:rsidR="0045641F" w:rsidRDefault="0045641F">
      <w:r>
        <w:t xml:space="preserve">- Name of share: Share of </w:t>
      </w:r>
      <w:r w:rsidRPr="0045641F">
        <w:t>Transport - Warehousing and Trade service Joint Stock Company</w:t>
      </w:r>
    </w:p>
    <w:p w:rsidR="0045641F" w:rsidRDefault="0045641F">
      <w:r>
        <w:t>- Type of share: common share</w:t>
      </w:r>
    </w:p>
    <w:p w:rsidR="0045641F" w:rsidRDefault="0045641F">
      <w:r>
        <w:t>- Par value: VND 10,000/share</w:t>
      </w:r>
    </w:p>
    <w:p w:rsidR="0045641F" w:rsidRDefault="0045641F">
      <w:r>
        <w:t>- Charter capital before share issuance: VND 23,504,000,000</w:t>
      </w:r>
    </w:p>
    <w:p w:rsidR="0045641F" w:rsidRDefault="0045641F">
      <w:r>
        <w:t>- Number of existing shares: 2,350,400 shares</w:t>
      </w:r>
    </w:p>
    <w:p w:rsidR="0045641F" w:rsidRDefault="0045641F">
      <w:r>
        <w:t>- Number of shares offered: 1,249,600 shares</w:t>
      </w:r>
    </w:p>
    <w:p w:rsidR="0045641F" w:rsidRDefault="0045641F">
      <w:r>
        <w:t>In which</w:t>
      </w:r>
    </w:p>
    <w:p w:rsidR="0045641F" w:rsidRDefault="0045641F">
      <w:r>
        <w:t>+ Number of shares offered to existing shareholders: 1,175,200 share with the exercise rate: 2:1 (shareholders have 01 rights for every share they own, they could buy 01 new share for 2 rights)</w:t>
      </w:r>
    </w:p>
    <w:p w:rsidR="0045641F" w:rsidRDefault="0045641F">
      <w:r>
        <w:t>+ Number of shares offered to employees: 74,400 shares</w:t>
      </w:r>
    </w:p>
    <w:p w:rsidR="0045641F" w:rsidRDefault="0045641F">
      <w:r>
        <w:t>- T</w:t>
      </w:r>
      <w:r w:rsidRPr="0045641F">
        <w:t>otal value offered at par value</w:t>
      </w:r>
      <w:r>
        <w:t>: VND 12,496,000,000</w:t>
      </w:r>
    </w:p>
    <w:p w:rsidR="0045641F" w:rsidRDefault="0045641F">
      <w:r>
        <w:t xml:space="preserve">- Charter capital after offering successfully </w:t>
      </w:r>
      <w:r w:rsidR="00752BA4">
        <w:t>additional</w:t>
      </w:r>
      <w:r>
        <w:t xml:space="preserve"> share</w:t>
      </w:r>
      <w:r w:rsidR="001642BC">
        <w:t>s</w:t>
      </w:r>
      <w:r>
        <w:t xml:space="preserve"> </w:t>
      </w:r>
      <w:proofErr w:type="gramStart"/>
      <w:r>
        <w:t>issued:</w:t>
      </w:r>
      <w:proofErr w:type="gramEnd"/>
      <w:r>
        <w:t xml:space="preserve"> VND 36,000,000,000</w:t>
      </w:r>
    </w:p>
    <w:p w:rsidR="0045641F" w:rsidRDefault="0045641F">
      <w:r>
        <w:t xml:space="preserve">- Expected time for the offering: After receiving the </w:t>
      </w:r>
      <w:r w:rsidR="00DC6C45">
        <w:t>certificate for the offering from the State Securities Commission</w:t>
      </w:r>
    </w:p>
    <w:p w:rsidR="00DC6C45" w:rsidRDefault="00DC6C45">
      <w:r>
        <w:t>- Target subject:</w:t>
      </w:r>
    </w:p>
    <w:p w:rsidR="00DC6C45" w:rsidRDefault="00DC6C45">
      <w:r>
        <w:t>+ Existing shareholders according to the list of shareholders at the record date</w:t>
      </w:r>
    </w:p>
    <w:p w:rsidR="00DC6C45" w:rsidRDefault="00DC6C45">
      <w:r>
        <w:t>+ Employees working for the company selected by the Board of Directors according to the criteria when they have long-term working experiences with the company</w:t>
      </w:r>
    </w:p>
    <w:p w:rsidR="00DC6C45" w:rsidRDefault="00DC6C45">
      <w:r>
        <w:t xml:space="preserve">- Offered price: VND 10,000/share, which </w:t>
      </w:r>
      <w:proofErr w:type="gramStart"/>
      <w:r>
        <w:t>is defined</w:t>
      </w:r>
      <w:proofErr w:type="gramEnd"/>
      <w:r>
        <w:t xml:space="preserve"> </w:t>
      </w:r>
      <w:r w:rsidR="00752BA4">
        <w:t>based on</w:t>
      </w:r>
      <w:r>
        <w:t xml:space="preserve"> comparing book value and market price</w:t>
      </w:r>
    </w:p>
    <w:p w:rsidR="00DC6C45" w:rsidRDefault="00DC6C45">
      <w:r>
        <w:t>At 31 December 2018, book value of 01 share was VND 12,080/share</w:t>
      </w:r>
    </w:p>
    <w:p w:rsidR="00DC6C45" w:rsidRDefault="00DC6C45" w:rsidP="00DC6C45">
      <w:r>
        <w:t>At 31 December 2019, book value of 01 share was VND 11,972/share</w:t>
      </w:r>
    </w:p>
    <w:p w:rsidR="00DC6C45" w:rsidRDefault="00DC6C45" w:rsidP="00DC6C45">
      <w:r>
        <w:t>The company offers the price at VND 10,000/share in order to increase the chance of offering successfully all the shares</w:t>
      </w:r>
    </w:p>
    <w:p w:rsidR="00DC6C45" w:rsidRDefault="00DC6C45" w:rsidP="00DC6C45">
      <w:r>
        <w:t xml:space="preserve">- </w:t>
      </w:r>
      <w:r w:rsidRPr="00DC6C45">
        <w:t xml:space="preserve">Rounding method: the number of shares issuing for existing shareholders </w:t>
      </w:r>
      <w:proofErr w:type="gramStart"/>
      <w:r w:rsidRPr="00DC6C45">
        <w:t>shall be rounded down</w:t>
      </w:r>
      <w:proofErr w:type="gramEnd"/>
      <w:r w:rsidRPr="00DC6C45">
        <w:t xml:space="preserve"> to unit digit</w:t>
      </w:r>
    </w:p>
    <w:p w:rsidR="00DC6C45" w:rsidRDefault="00DC6C45" w:rsidP="00DC6C45">
      <w:pPr>
        <w:rPr>
          <w:rFonts w:ascii="Times New Roman" w:hAnsi="Times New Roman"/>
          <w:sz w:val="24"/>
          <w:szCs w:val="24"/>
        </w:rPr>
      </w:pPr>
      <w:r>
        <w:lastRenderedPageBreak/>
        <w:t xml:space="preserve">- </w:t>
      </w:r>
      <w:r w:rsidRPr="00DC6C45">
        <w:t xml:space="preserve">Plan on handling unsold share and odd-lot share: </w:t>
      </w:r>
      <w:r w:rsidRPr="005F138D">
        <w:rPr>
          <w:rFonts w:ascii="Times New Roman" w:hAnsi="Times New Roman"/>
          <w:sz w:val="24"/>
          <w:szCs w:val="24"/>
        </w:rPr>
        <w:t>General Meeting of Shareholders authorizes Board of Directors to distribute the number of unsold shares and odd-lot shares to other entities with the prices which is not less than the issuing price for existing shareholders</w:t>
      </w:r>
    </w:p>
    <w:p w:rsidR="00DC6C45" w:rsidRDefault="00DC6C45" w:rsidP="00DC6C45">
      <w:pPr>
        <w:rPr>
          <w:rFonts w:ascii="Times New Roman" w:hAnsi="Times New Roman"/>
          <w:sz w:val="24"/>
          <w:szCs w:val="24"/>
        </w:rPr>
      </w:pPr>
      <w:r>
        <w:rPr>
          <w:rFonts w:ascii="Times New Roman" w:hAnsi="Times New Roman"/>
          <w:sz w:val="24"/>
          <w:szCs w:val="24"/>
        </w:rPr>
        <w:t>- Transfer of the right to buy new shares:</w:t>
      </w:r>
      <w:r w:rsidRPr="00DC6C45">
        <w:rPr>
          <w:rFonts w:ascii="Times New Roman" w:hAnsi="Times New Roman"/>
          <w:sz w:val="24"/>
          <w:szCs w:val="24"/>
        </w:rPr>
        <w:t xml:space="preserve"> </w:t>
      </w:r>
      <w:r w:rsidRPr="005F138D">
        <w:rPr>
          <w:rFonts w:ascii="Times New Roman" w:hAnsi="Times New Roman"/>
          <w:sz w:val="24"/>
          <w:szCs w:val="24"/>
        </w:rPr>
        <w:t xml:space="preserve">Existing shareholders have the right to buy share or transfer the rights to buy shares or to deny buying shares. These shareholders have the rights to transfer their right to buy share to one or more third parties with the negotiated price. It </w:t>
      </w:r>
      <w:proofErr w:type="gramStart"/>
      <w:r w:rsidRPr="005F138D">
        <w:rPr>
          <w:rFonts w:ascii="Times New Roman" w:hAnsi="Times New Roman"/>
          <w:sz w:val="24"/>
          <w:szCs w:val="24"/>
        </w:rPr>
        <w:t>could only be transferred</w:t>
      </w:r>
      <w:proofErr w:type="gramEnd"/>
      <w:r w:rsidRPr="005F138D">
        <w:rPr>
          <w:rFonts w:ascii="Times New Roman" w:hAnsi="Times New Roman"/>
          <w:sz w:val="24"/>
          <w:szCs w:val="24"/>
        </w:rPr>
        <w:t xml:space="preserve"> once</w:t>
      </w:r>
    </w:p>
    <w:p w:rsidR="00DC6C45" w:rsidRDefault="00DC6C45" w:rsidP="00DC6C45">
      <w:pPr>
        <w:rPr>
          <w:rFonts w:ascii="Times New Roman" w:hAnsi="Times New Roman"/>
          <w:sz w:val="24"/>
          <w:szCs w:val="24"/>
        </w:rPr>
      </w:pPr>
      <w:r>
        <w:rPr>
          <w:rFonts w:ascii="Times New Roman" w:hAnsi="Times New Roman"/>
          <w:sz w:val="24"/>
          <w:szCs w:val="24"/>
        </w:rPr>
        <w:t xml:space="preserve">- Public offering: In case the rate of </w:t>
      </w:r>
      <w:r w:rsidR="00752BA4" w:rsidRPr="00DC6C45">
        <w:rPr>
          <w:rFonts w:ascii="Times New Roman" w:hAnsi="Times New Roman"/>
          <w:sz w:val="24"/>
          <w:szCs w:val="24"/>
        </w:rPr>
        <w:t>the</w:t>
      </w:r>
      <w:r w:rsidRPr="00DC6C45">
        <w:rPr>
          <w:rFonts w:ascii="Times New Roman" w:hAnsi="Times New Roman"/>
          <w:sz w:val="24"/>
          <w:szCs w:val="24"/>
        </w:rPr>
        <w:t xml:space="preserve"> ownership ratio of new shareholders (shareholders </w:t>
      </w:r>
      <w:r w:rsidR="00E240B5">
        <w:rPr>
          <w:rFonts w:ascii="Times New Roman" w:hAnsi="Times New Roman"/>
          <w:sz w:val="24"/>
          <w:szCs w:val="24"/>
        </w:rPr>
        <w:t>received unsold and odd shares</w:t>
      </w:r>
      <w:r w:rsidRPr="00DC6C45">
        <w:rPr>
          <w:rFonts w:ascii="Times New Roman" w:hAnsi="Times New Roman"/>
          <w:sz w:val="24"/>
          <w:szCs w:val="24"/>
        </w:rPr>
        <w:t>) exceeding 25% of the total number of voting shares</w:t>
      </w:r>
      <w:r w:rsidR="00E240B5">
        <w:rPr>
          <w:rFonts w:ascii="Times New Roman" w:hAnsi="Times New Roman"/>
          <w:sz w:val="24"/>
          <w:szCs w:val="24"/>
        </w:rPr>
        <w:t xml:space="preserve">, it is </w:t>
      </w:r>
      <w:r w:rsidRPr="00DC6C45">
        <w:rPr>
          <w:rFonts w:ascii="Times New Roman" w:hAnsi="Times New Roman"/>
          <w:sz w:val="24"/>
          <w:szCs w:val="24"/>
        </w:rPr>
        <w:t>not required to go through the public tender offer procedure.</w:t>
      </w:r>
    </w:p>
    <w:p w:rsidR="00E240B5" w:rsidRDefault="00E240B5" w:rsidP="00DC6C45">
      <w:pPr>
        <w:rPr>
          <w:rFonts w:ascii="Times New Roman" w:hAnsi="Times New Roman"/>
          <w:sz w:val="24"/>
          <w:szCs w:val="24"/>
        </w:rPr>
      </w:pPr>
      <w:r>
        <w:rPr>
          <w:rFonts w:ascii="Times New Roman" w:hAnsi="Times New Roman"/>
          <w:sz w:val="24"/>
          <w:szCs w:val="24"/>
        </w:rPr>
        <w:t>- Plan on proceeds:</w:t>
      </w:r>
    </w:p>
    <w:p w:rsidR="00E240B5" w:rsidRDefault="00E240B5" w:rsidP="00DC6C45">
      <w:pPr>
        <w:rPr>
          <w:rFonts w:ascii="Times New Roman" w:hAnsi="Times New Roman"/>
          <w:sz w:val="24"/>
          <w:szCs w:val="24"/>
        </w:rPr>
      </w:pPr>
      <w:r>
        <w:rPr>
          <w:rFonts w:ascii="Times New Roman" w:hAnsi="Times New Roman"/>
          <w:sz w:val="24"/>
          <w:szCs w:val="24"/>
        </w:rPr>
        <w:t xml:space="preserve">Total amount collected from the offering: VND 12,496,000,000. It </w:t>
      </w:r>
      <w:proofErr w:type="gramStart"/>
      <w:r>
        <w:rPr>
          <w:rFonts w:ascii="Times New Roman" w:hAnsi="Times New Roman"/>
          <w:sz w:val="24"/>
          <w:szCs w:val="24"/>
        </w:rPr>
        <w:t>will be used</w:t>
      </w:r>
      <w:proofErr w:type="gramEnd"/>
      <w:r>
        <w:rPr>
          <w:rFonts w:ascii="Times New Roman" w:hAnsi="Times New Roman"/>
          <w:sz w:val="24"/>
          <w:szCs w:val="24"/>
        </w:rPr>
        <w:t xml:space="preserve"> as follows:</w:t>
      </w:r>
    </w:p>
    <w:tbl>
      <w:tblPr>
        <w:tblStyle w:val="TableGrid"/>
        <w:tblW w:w="0" w:type="auto"/>
        <w:tblLook w:val="04A0" w:firstRow="1" w:lastRow="0" w:firstColumn="1" w:lastColumn="0" w:noHBand="0" w:noVBand="1"/>
      </w:tblPr>
      <w:tblGrid>
        <w:gridCol w:w="704"/>
        <w:gridCol w:w="3827"/>
        <w:gridCol w:w="3117"/>
      </w:tblGrid>
      <w:tr w:rsidR="001C4F83" w:rsidTr="001C4F83">
        <w:tc>
          <w:tcPr>
            <w:tcW w:w="704" w:type="dxa"/>
          </w:tcPr>
          <w:p w:rsidR="001C4F83" w:rsidRPr="001C4F83" w:rsidRDefault="001C4F83" w:rsidP="001C4F83">
            <w:pPr>
              <w:jc w:val="center"/>
              <w:rPr>
                <w:b/>
              </w:rPr>
            </w:pPr>
            <w:r w:rsidRPr="001C4F83">
              <w:rPr>
                <w:b/>
              </w:rPr>
              <w:t>No.</w:t>
            </w:r>
          </w:p>
        </w:tc>
        <w:tc>
          <w:tcPr>
            <w:tcW w:w="3827" w:type="dxa"/>
          </w:tcPr>
          <w:p w:rsidR="001C4F83" w:rsidRPr="001C4F83" w:rsidRDefault="001C4F83" w:rsidP="001C4F83">
            <w:pPr>
              <w:jc w:val="center"/>
              <w:rPr>
                <w:b/>
              </w:rPr>
            </w:pPr>
            <w:r w:rsidRPr="001C4F83">
              <w:rPr>
                <w:b/>
              </w:rPr>
              <w:t>Content</w:t>
            </w:r>
          </w:p>
        </w:tc>
        <w:tc>
          <w:tcPr>
            <w:tcW w:w="3117" w:type="dxa"/>
          </w:tcPr>
          <w:p w:rsidR="001C4F83" w:rsidRPr="001C4F83" w:rsidRDefault="001C4F83" w:rsidP="001C4F83">
            <w:pPr>
              <w:jc w:val="center"/>
              <w:rPr>
                <w:b/>
              </w:rPr>
            </w:pPr>
            <w:proofErr w:type="spellStart"/>
            <w:r w:rsidRPr="001C4F83">
              <w:rPr>
                <w:b/>
              </w:rPr>
              <w:t>Ammount</w:t>
            </w:r>
            <w:proofErr w:type="spellEnd"/>
          </w:p>
        </w:tc>
      </w:tr>
      <w:tr w:rsidR="001C4F83" w:rsidTr="001C4F83">
        <w:tc>
          <w:tcPr>
            <w:tcW w:w="704" w:type="dxa"/>
          </w:tcPr>
          <w:p w:rsidR="001C4F83" w:rsidRDefault="001C4F83" w:rsidP="00DC6C45">
            <w:r>
              <w:t>1</w:t>
            </w:r>
          </w:p>
        </w:tc>
        <w:tc>
          <w:tcPr>
            <w:tcW w:w="3827" w:type="dxa"/>
          </w:tcPr>
          <w:p w:rsidR="001C4F83" w:rsidRDefault="001C4F83" w:rsidP="00DC6C45">
            <w:r>
              <w:t>Pay bank loan</w:t>
            </w:r>
          </w:p>
        </w:tc>
        <w:tc>
          <w:tcPr>
            <w:tcW w:w="3117" w:type="dxa"/>
          </w:tcPr>
          <w:p w:rsidR="001C4F83" w:rsidRDefault="001C4F83" w:rsidP="00DC6C45">
            <w:r>
              <w:t>VND 10,000,000,000</w:t>
            </w:r>
          </w:p>
        </w:tc>
      </w:tr>
      <w:tr w:rsidR="001C4F83" w:rsidTr="001C4F83">
        <w:tc>
          <w:tcPr>
            <w:tcW w:w="704" w:type="dxa"/>
          </w:tcPr>
          <w:p w:rsidR="001C4F83" w:rsidRDefault="001C4F83" w:rsidP="00DC6C45">
            <w:r>
              <w:t>2</w:t>
            </w:r>
          </w:p>
        </w:tc>
        <w:tc>
          <w:tcPr>
            <w:tcW w:w="3827" w:type="dxa"/>
          </w:tcPr>
          <w:p w:rsidR="001C4F83" w:rsidRDefault="001C4F83" w:rsidP="00DC6C45">
            <w:r>
              <w:t>Supplement capital for business</w:t>
            </w:r>
          </w:p>
        </w:tc>
        <w:tc>
          <w:tcPr>
            <w:tcW w:w="3117" w:type="dxa"/>
          </w:tcPr>
          <w:p w:rsidR="001C4F83" w:rsidRDefault="001C4F83" w:rsidP="00DC6C45">
            <w:r>
              <w:t>VND 2,469,000,000</w:t>
            </w:r>
          </w:p>
        </w:tc>
      </w:tr>
      <w:tr w:rsidR="001C4F83" w:rsidTr="00A168B3">
        <w:tc>
          <w:tcPr>
            <w:tcW w:w="4531" w:type="dxa"/>
            <w:gridSpan w:val="2"/>
          </w:tcPr>
          <w:p w:rsidR="001C4F83" w:rsidRPr="001C4F83" w:rsidRDefault="001C4F83" w:rsidP="001C4F83">
            <w:pPr>
              <w:jc w:val="center"/>
              <w:rPr>
                <w:b/>
              </w:rPr>
            </w:pPr>
            <w:r w:rsidRPr="001C4F83">
              <w:rPr>
                <w:b/>
              </w:rPr>
              <w:t>Total</w:t>
            </w:r>
          </w:p>
        </w:tc>
        <w:tc>
          <w:tcPr>
            <w:tcW w:w="3117" w:type="dxa"/>
          </w:tcPr>
          <w:p w:rsidR="001C4F83" w:rsidRPr="001C4F83" w:rsidRDefault="001C4F83" w:rsidP="001C4F83">
            <w:pPr>
              <w:jc w:val="center"/>
              <w:rPr>
                <w:b/>
              </w:rPr>
            </w:pPr>
            <w:r w:rsidRPr="001C4F83">
              <w:rPr>
                <w:b/>
              </w:rPr>
              <w:t>12,496,000,000,000</w:t>
            </w:r>
          </w:p>
        </w:tc>
      </w:tr>
    </w:tbl>
    <w:p w:rsidR="00E240B5" w:rsidRDefault="001C4F83" w:rsidP="00DC6C45">
      <w:r>
        <w:t xml:space="preserve">- Plan for the capital mobilization in case the shares could not be offered completely as expected: In order to provide capital for investment and business of the company, the rate of offering successfully is minimum at 70%, equivalent to the amount of money collected of VND 8.7 billion. So </w:t>
      </w:r>
      <w:r w:rsidR="00752BA4">
        <w:t>in case the offering do not reach the rate for successfully offering or the shares are not distributed as planned and the capital mobilized was not as planned, the Board of Directors will consider to adjust the capital structure for the investment plan or to adjust the plan to be more appropriate with the financial capabilities.</w:t>
      </w:r>
    </w:p>
    <w:p w:rsidR="00752BA4" w:rsidRDefault="00752BA4" w:rsidP="00DC6C45">
      <w:r>
        <w:t>- Condition for cancelling the offering: The rate of shares offered is 0%</w:t>
      </w:r>
    </w:p>
    <w:p w:rsidR="00752BA4" w:rsidRDefault="00752BA4" w:rsidP="00DC6C45">
      <w:r>
        <w:t xml:space="preserve">- </w:t>
      </w:r>
      <w:r w:rsidRPr="00752BA4">
        <w:t xml:space="preserve">Stock depository and listing: Additional offering shares </w:t>
      </w:r>
      <w:proofErr w:type="gramStart"/>
      <w:r w:rsidRPr="00752BA4">
        <w:t xml:space="preserve">will be centrally registered at the Vietnam Securities Depository and registered to list on the institutional stock exchange within 1 year </w:t>
      </w:r>
      <w:r>
        <w:t>after completing the</w:t>
      </w:r>
      <w:r w:rsidRPr="00752BA4">
        <w:t xml:space="preserve"> offering to the public to ensure the </w:t>
      </w:r>
      <w:r>
        <w:t>requirements for listed shares offering to</w:t>
      </w:r>
      <w:r w:rsidRPr="00752BA4">
        <w:t xml:space="preserve"> the public</w:t>
      </w:r>
      <w:proofErr w:type="gramEnd"/>
      <w:r>
        <w:t>.</w:t>
      </w:r>
    </w:p>
    <w:p w:rsidR="00752BA4" w:rsidRDefault="00752BA4" w:rsidP="00DC6C45">
      <w:r w:rsidRPr="00752BA4">
        <w:rPr>
          <w:b/>
        </w:rPr>
        <w:t>Article 2.</w:t>
      </w:r>
      <w:r>
        <w:t xml:space="preserve"> Assign the General Manager to direct related department to complete the procedures for the permission for the offering and to implement the offering as prescribed by the legal regulations</w:t>
      </w:r>
    </w:p>
    <w:p w:rsidR="00752BA4" w:rsidRDefault="00752BA4" w:rsidP="00DC6C45">
      <w:r>
        <w:rPr>
          <w:b/>
        </w:rPr>
        <w:t>Article 3.</w:t>
      </w:r>
      <w:r>
        <w:t xml:space="preserve"> Implementation</w:t>
      </w:r>
    </w:p>
    <w:p w:rsidR="00752BA4" w:rsidRPr="00DC6C45" w:rsidRDefault="00752BA4" w:rsidP="00DC6C45">
      <w:r>
        <w:t>The Board of Directors, Board of Executive Managers, related departments and employees have the responsibilities in implementing this board resolution.</w:t>
      </w:r>
    </w:p>
    <w:p w:rsidR="00DC6C45" w:rsidRDefault="00DC6C45" w:rsidP="00DC6C45"/>
    <w:p w:rsidR="00DC6C45" w:rsidRDefault="00DC6C45"/>
    <w:p w:rsidR="0045641F" w:rsidRDefault="0045641F">
      <w:r>
        <w:tab/>
      </w:r>
    </w:p>
    <w:sectPr w:rsidR="0045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1F"/>
    <w:rsid w:val="001642BC"/>
    <w:rsid w:val="001C4F83"/>
    <w:rsid w:val="0045641F"/>
    <w:rsid w:val="00752BA4"/>
    <w:rsid w:val="00862E59"/>
    <w:rsid w:val="00AE4176"/>
    <w:rsid w:val="00DC6C45"/>
    <w:rsid w:val="00E2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60D"/>
  <w15:chartTrackingRefBased/>
  <w15:docId w15:val="{98DD2614-88EB-46AF-A696-58F6EA5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3</cp:revision>
  <dcterms:created xsi:type="dcterms:W3CDTF">2020-11-03T07:53:00Z</dcterms:created>
  <dcterms:modified xsi:type="dcterms:W3CDTF">2020-11-04T01:55:00Z</dcterms:modified>
</cp:coreProperties>
</file>